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A6B" w:rsidRDefault="00344A6B" w:rsidP="00344A6B">
      <w:pPr>
        <w:jc w:val="center"/>
        <w:rPr>
          <w:b/>
          <w:sz w:val="28"/>
          <w:szCs w:val="28"/>
        </w:rPr>
      </w:pPr>
      <w:r w:rsidRPr="00344A6B">
        <w:rPr>
          <w:b/>
          <w:sz w:val="28"/>
          <w:szCs w:val="28"/>
        </w:rPr>
        <w:t>Pirminių profesinių mokyklų Mokinių registro tvarkytojams, rekomendacijos apie programinės įrangos naujoves Mokinių registre.</w:t>
      </w:r>
    </w:p>
    <w:p w:rsidR="00450F70" w:rsidRDefault="00450F70" w:rsidP="00D74B6F">
      <w:pPr>
        <w:jc w:val="both"/>
        <w:rPr>
          <w:sz w:val="24"/>
          <w:szCs w:val="24"/>
        </w:rPr>
      </w:pPr>
      <w:r w:rsidRPr="00450F70">
        <w:rPr>
          <w:b/>
          <w:sz w:val="24"/>
          <w:szCs w:val="24"/>
        </w:rPr>
        <w:t>Ypač svarbi naujovė, nuo š. m. m. (2018-2019) skaičiuojamas klasės krepšelis besimokantiems 2018-09-01 pagal bendrąsias ugdymo programas ir</w:t>
      </w:r>
      <w:r w:rsidRPr="00450F70">
        <w:rPr>
          <w:sz w:val="24"/>
          <w:szCs w:val="24"/>
        </w:rPr>
        <w:t xml:space="preserve"> </w:t>
      </w:r>
      <w:r w:rsidRPr="00450F70">
        <w:rPr>
          <w:b/>
          <w:sz w:val="24"/>
          <w:szCs w:val="24"/>
        </w:rPr>
        <w:t>mokiniams besimokantiems pirminės profesinės programos kartu su bendrąja ugdymo programa.</w:t>
      </w:r>
      <w:r w:rsidRPr="00450F70">
        <w:rPr>
          <w:sz w:val="24"/>
          <w:szCs w:val="24"/>
        </w:rPr>
        <w:t xml:space="preserve"> </w:t>
      </w:r>
    </w:p>
    <w:p w:rsidR="00450F70" w:rsidRPr="00450F70" w:rsidRDefault="00450F70" w:rsidP="00D74B6F">
      <w:pPr>
        <w:jc w:val="both"/>
        <w:rPr>
          <w:b/>
          <w:sz w:val="28"/>
          <w:szCs w:val="28"/>
        </w:rPr>
      </w:pPr>
      <w:r w:rsidRPr="00450F70">
        <w:rPr>
          <w:b/>
          <w:sz w:val="24"/>
          <w:szCs w:val="24"/>
        </w:rPr>
        <w:t>Atkreipiame dėmesį į pasikeitusį profesinių (pirminių ir tęstinių) mokymo programų kodavimą. Reikėtų laiku pasirūpinti programų, su naujais kodais, licencijų atnaujinimu.</w:t>
      </w:r>
    </w:p>
    <w:p w:rsidR="00450F70" w:rsidRDefault="00344A6B" w:rsidP="00D74B6F">
      <w:pPr>
        <w:jc w:val="both"/>
        <w:rPr>
          <w:b/>
          <w:sz w:val="24"/>
          <w:szCs w:val="24"/>
        </w:rPr>
      </w:pPr>
      <w:r w:rsidRPr="00450F70">
        <w:rPr>
          <w:b/>
          <w:sz w:val="24"/>
          <w:szCs w:val="24"/>
        </w:rPr>
        <w:t xml:space="preserve">2018/2019 m. m., kaip ir praeitais m. m., </w:t>
      </w:r>
      <w:r w:rsidR="00450F70">
        <w:rPr>
          <w:b/>
          <w:sz w:val="24"/>
          <w:szCs w:val="24"/>
        </w:rPr>
        <w:t>į pirmines, o šiemet ir į kai kurias tęstines profesines programas registraciją į pirmą kursą vykdoma per LAMA BPO sistemą.</w:t>
      </w:r>
    </w:p>
    <w:p w:rsidR="00344A6B" w:rsidRDefault="00450F70" w:rsidP="00D74B6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344A6B" w:rsidRPr="00450F70">
        <w:rPr>
          <w:b/>
          <w:sz w:val="24"/>
          <w:szCs w:val="24"/>
        </w:rPr>
        <w:t>asikeitė statistinių ataskaitų tvirtinimo iš Mokinių registro tvarka. Mokinių registre statistinės ataskaitos nebeformuojamos ir neatsiskaitinėjamos.</w:t>
      </w:r>
    </w:p>
    <w:p w:rsidR="00450F70" w:rsidRDefault="00450F70" w:rsidP="00D74B6F">
      <w:pPr>
        <w:pStyle w:val="prastasiniatinklio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 w:rsidRPr="00344A6B">
        <w:rPr>
          <w:b/>
        </w:rPr>
        <w:t>Priklausomai nuo to, kokius mokinius ugdo profesinė mokykla, tokias ataskaitas ir turi atsiskaityti SVIS (Švietimo valdymo informacinėje sistemoje)</w:t>
      </w:r>
      <w:r>
        <w:rPr>
          <w:b/>
        </w:rPr>
        <w:t xml:space="preserve"> </w:t>
      </w:r>
      <w:r w:rsidRPr="00344A6B">
        <w:rPr>
          <w:b/>
        </w:rPr>
        <w:t>naršyklėje. Formuojant statistikos ataskaitas tie patys žingsniai galioja visoms pirminio profesinio mokymo, bendrojo ugdymo, ikimokyklinio ugdymo ir neformaliojo vaikų švietimo statistikos ataskaitoms.</w:t>
      </w:r>
    </w:p>
    <w:p w:rsidR="00D74B6F" w:rsidRPr="00344A6B" w:rsidRDefault="00D74B6F" w:rsidP="00D74B6F">
      <w:pPr>
        <w:pStyle w:val="prastasiniatinklio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</w:p>
    <w:p w:rsidR="00A46639" w:rsidRDefault="005E03D0" w:rsidP="00D74B6F">
      <w:pPr>
        <w:pStyle w:val="prastasiniatinklio"/>
        <w:shd w:val="clear" w:color="auto" w:fill="FFFFFF"/>
        <w:spacing w:before="0" w:beforeAutospacing="0" w:after="0" w:afterAutospacing="0" w:line="300" w:lineRule="atLeast"/>
        <w:jc w:val="both"/>
      </w:pPr>
      <w:r w:rsidRPr="00E31EBB">
        <w:t xml:space="preserve">Švietimo valdymo informacinėje sistemoje </w:t>
      </w:r>
      <w:r>
        <w:t xml:space="preserve">(ŠVIS) </w:t>
      </w:r>
      <w:r w:rsidRPr="00E31EBB">
        <w:t>kaupiami duomenys apie</w:t>
      </w:r>
      <w:r w:rsidRPr="007C6A06">
        <w:rPr>
          <w:b/>
        </w:rPr>
        <w:t xml:space="preserve"> </w:t>
      </w:r>
      <w:r w:rsidRPr="007C6A06">
        <w:t>neformal</w:t>
      </w:r>
      <w:r>
        <w:t xml:space="preserve">ųjį </w:t>
      </w:r>
      <w:r w:rsidRPr="007C6A06">
        <w:t>vaikų švietim</w:t>
      </w:r>
      <w:r>
        <w:t>ą,</w:t>
      </w:r>
      <w:r w:rsidRPr="007C6A06">
        <w:rPr>
          <w:rFonts w:ascii="Arial" w:hAnsi="Arial" w:cs="Arial"/>
          <w:sz w:val="22"/>
          <w:szCs w:val="22"/>
        </w:rPr>
        <w:t xml:space="preserve"> </w:t>
      </w:r>
      <w:r w:rsidRPr="007C6A06">
        <w:t>NVŠ program</w:t>
      </w:r>
      <w:r>
        <w:t>a</w:t>
      </w:r>
      <w:r w:rsidRPr="007C6A06">
        <w:t>s papildanči</w:t>
      </w:r>
      <w:r>
        <w:t>a</w:t>
      </w:r>
      <w:r w:rsidRPr="007C6A06">
        <w:t>s formalųjį švietimą</w:t>
      </w:r>
      <w:r>
        <w:t>,</w:t>
      </w:r>
      <w:r w:rsidRPr="00E31EBB">
        <w:t xml:space="preserve"> ikimokyklinį, pradinį, pagrindinį, vidurinį ugdymą, profesinį </w:t>
      </w:r>
      <w:r>
        <w:t xml:space="preserve">pirminį ir tęstinį </w:t>
      </w:r>
      <w:r w:rsidRPr="00E31EBB">
        <w:t xml:space="preserve">mokymą bei </w:t>
      </w:r>
      <w:r w:rsidR="000217F2">
        <w:t>pedagogus</w:t>
      </w:r>
      <w:r w:rsidR="00A46639">
        <w:t>.</w:t>
      </w:r>
    </w:p>
    <w:p w:rsidR="00A46639" w:rsidRDefault="00A46639" w:rsidP="00D74B6F">
      <w:pPr>
        <w:pStyle w:val="prastasiniatinklio"/>
        <w:shd w:val="clear" w:color="auto" w:fill="FFFFFF"/>
        <w:spacing w:before="0" w:beforeAutospacing="0" w:after="0" w:afterAutospacing="0" w:line="300" w:lineRule="atLeast"/>
        <w:jc w:val="both"/>
      </w:pPr>
      <w:r w:rsidRPr="00EA00F4">
        <w:rPr>
          <w:b/>
        </w:rPr>
        <w:t>Profesinėje mokykloje</w:t>
      </w:r>
      <w:r>
        <w:t>, ugdomi:</w:t>
      </w:r>
    </w:p>
    <w:p w:rsidR="00A46639" w:rsidRDefault="00A46639" w:rsidP="00D74B6F">
      <w:pPr>
        <w:pStyle w:val="prastasiniatinklio"/>
        <w:shd w:val="clear" w:color="auto" w:fill="FFFFFF"/>
        <w:spacing w:before="0" w:beforeAutospacing="0" w:after="0" w:afterAutospacing="0" w:line="300" w:lineRule="atLeast"/>
        <w:jc w:val="both"/>
      </w:pPr>
      <w:r w:rsidRPr="00C85297">
        <w:rPr>
          <w:b/>
        </w:rPr>
        <w:t>neformalaus vaikų švietimo</w:t>
      </w:r>
      <w:r>
        <w:t xml:space="preserve"> ar</w:t>
      </w:r>
      <w:r w:rsidRPr="007C6A06">
        <w:rPr>
          <w:rFonts w:ascii="Arial" w:hAnsi="Arial" w:cs="Arial"/>
          <w:sz w:val="22"/>
          <w:szCs w:val="22"/>
        </w:rPr>
        <w:t xml:space="preserve"> </w:t>
      </w:r>
      <w:r w:rsidRPr="00C85297">
        <w:rPr>
          <w:b/>
        </w:rPr>
        <w:t>NVŠ programas papildančių formalųjį</w:t>
      </w:r>
      <w:r w:rsidRPr="007C6A06">
        <w:t xml:space="preserve"> švietimą</w:t>
      </w:r>
      <w:r>
        <w:t xml:space="preserve"> lankantys turi patekti į </w:t>
      </w:r>
      <w:r w:rsidRPr="00C85297">
        <w:rPr>
          <w:b/>
          <w:u w:val="single"/>
        </w:rPr>
        <w:t>4-mokykla</w:t>
      </w:r>
      <w:r>
        <w:rPr>
          <w:b/>
          <w:u w:val="single"/>
        </w:rPr>
        <w:t xml:space="preserve"> </w:t>
      </w:r>
      <w:r w:rsidRPr="00185402">
        <w:t>ataskaitą</w:t>
      </w:r>
      <w:r>
        <w:t>;</w:t>
      </w:r>
    </w:p>
    <w:p w:rsidR="00A46639" w:rsidRDefault="00A46639" w:rsidP="00D74B6F">
      <w:pPr>
        <w:pStyle w:val="prastasiniatinklio"/>
        <w:shd w:val="clear" w:color="auto" w:fill="FFFFFF"/>
        <w:spacing w:before="0" w:beforeAutospacing="0" w:after="0" w:afterAutospacing="0" w:line="300" w:lineRule="atLeast"/>
        <w:jc w:val="both"/>
      </w:pPr>
      <w:r w:rsidRPr="00EA00F4">
        <w:rPr>
          <w:b/>
        </w:rPr>
        <w:t>ikimokyklinukai</w:t>
      </w:r>
      <w:r>
        <w:t xml:space="preserve"> turi patekti į </w:t>
      </w:r>
      <w:r w:rsidRPr="00C53E1C">
        <w:rPr>
          <w:b/>
          <w:u w:val="single"/>
        </w:rPr>
        <w:t>ŠV-03</w:t>
      </w:r>
      <w:r>
        <w:t xml:space="preserve"> ataskaitą;</w:t>
      </w:r>
    </w:p>
    <w:p w:rsidR="00A46639" w:rsidRPr="00DF0AB5" w:rsidRDefault="00A46639" w:rsidP="00D74B6F">
      <w:pPr>
        <w:pStyle w:val="prastasiniatinklio"/>
        <w:shd w:val="clear" w:color="auto" w:fill="FFFFFF"/>
        <w:spacing w:before="0" w:beforeAutospacing="0" w:after="0" w:afterAutospacing="0" w:line="300" w:lineRule="atLeast"/>
        <w:jc w:val="both"/>
      </w:pPr>
      <w:r>
        <w:t xml:space="preserve">besimokantys pagal </w:t>
      </w:r>
      <w:r w:rsidRPr="00EA00F4">
        <w:rPr>
          <w:b/>
        </w:rPr>
        <w:t xml:space="preserve">bendro ugdymo </w:t>
      </w:r>
      <w:r>
        <w:t>programą</w:t>
      </w:r>
      <w:r w:rsidRPr="00513626">
        <w:t xml:space="preserve"> </w:t>
      </w:r>
      <w:r>
        <w:t xml:space="preserve">turi patekti į </w:t>
      </w:r>
      <w:r w:rsidRPr="00C53E1C">
        <w:rPr>
          <w:rFonts w:eastAsiaTheme="majorEastAsia"/>
          <w:b/>
          <w:u w:val="single"/>
        </w:rPr>
        <w:t>Bendrojo ugdymo mokyklų</w:t>
      </w:r>
      <w:r w:rsidRPr="00C53E1C">
        <w:rPr>
          <w:b/>
          <w:u w:val="single"/>
        </w:rPr>
        <w:t> (M-1)</w:t>
      </w:r>
      <w:r>
        <w:rPr>
          <w:b/>
          <w:u w:val="single"/>
        </w:rPr>
        <w:t xml:space="preserve">, </w:t>
      </w:r>
      <w:r w:rsidRPr="00A46639">
        <w:rPr>
          <w:b/>
          <w:u w:val="single"/>
        </w:rPr>
        <w:t>klasės krepšelio</w:t>
      </w:r>
      <w:r w:rsidRPr="00A46639">
        <w:rPr>
          <w:b/>
        </w:rPr>
        <w:t xml:space="preserve"> </w:t>
      </w:r>
      <w:r w:rsidRPr="00DF0AB5">
        <w:t>ataskaitą;</w:t>
      </w:r>
    </w:p>
    <w:p w:rsidR="00A46639" w:rsidRDefault="00A46639" w:rsidP="00D74B6F">
      <w:pPr>
        <w:pStyle w:val="prastasiniatinklio"/>
        <w:shd w:val="clear" w:color="auto" w:fill="FFFFFF"/>
        <w:spacing w:before="0" w:beforeAutospacing="0" w:after="0" w:afterAutospacing="0" w:line="300" w:lineRule="atLeast"/>
        <w:jc w:val="both"/>
      </w:pPr>
      <w:r>
        <w:t xml:space="preserve">besimokantys </w:t>
      </w:r>
      <w:r w:rsidRPr="00EA00F4">
        <w:rPr>
          <w:b/>
        </w:rPr>
        <w:t>pirminių profesinių</w:t>
      </w:r>
      <w:r>
        <w:t xml:space="preserve"> programų, į </w:t>
      </w:r>
      <w:r w:rsidRPr="00C53E1C">
        <w:rPr>
          <w:rFonts w:eastAsiaTheme="majorEastAsia"/>
          <w:b/>
          <w:u w:val="single"/>
        </w:rPr>
        <w:t>Pirminį profesinį mokymą vykdančių įstaigų</w:t>
      </w:r>
      <w:r w:rsidRPr="00C53E1C">
        <w:rPr>
          <w:b/>
          <w:u w:val="single"/>
        </w:rPr>
        <w:t> (PM-1)</w:t>
      </w:r>
      <w:r w:rsidRPr="00C53E1C">
        <w:rPr>
          <w:b/>
        </w:rPr>
        <w:t xml:space="preserve"> </w:t>
      </w:r>
      <w:r>
        <w:t>ataskaitą;</w:t>
      </w:r>
    </w:p>
    <w:p w:rsidR="00913D6B" w:rsidRDefault="00A46639" w:rsidP="00D74B6F">
      <w:pPr>
        <w:pStyle w:val="prastasiniatinklio"/>
        <w:shd w:val="clear" w:color="auto" w:fill="FFFFFF"/>
        <w:spacing w:before="0" w:beforeAutospacing="0" w:after="0" w:afterAutospacing="0" w:line="300" w:lineRule="atLeast"/>
        <w:jc w:val="both"/>
      </w:pPr>
      <w:r>
        <w:t xml:space="preserve">besimokantys </w:t>
      </w:r>
      <w:r w:rsidRPr="00C53E1C">
        <w:rPr>
          <w:b/>
        </w:rPr>
        <w:t>tęstinių profesinių mokymo programų</w:t>
      </w:r>
      <w:r>
        <w:t xml:space="preserve"> į ŠVIS ataskaitas nepatenka. </w:t>
      </w:r>
    </w:p>
    <w:bookmarkStart w:id="0" w:name="_GoBack"/>
    <w:bookmarkEnd w:id="0"/>
    <w:p w:rsidR="00344A6B" w:rsidRDefault="00D61A35" w:rsidP="00D74B6F">
      <w:pPr>
        <w:pStyle w:val="prastasiniatinklio"/>
        <w:shd w:val="clear" w:color="auto" w:fill="FFFFFF"/>
        <w:spacing w:before="0" w:beforeAutospacing="0" w:after="0" w:afterAutospacing="0" w:line="300" w:lineRule="atLeast"/>
        <w:jc w:val="both"/>
        <w:rPr>
          <w:rStyle w:val="Hipersaitas"/>
          <w:b/>
          <w:color w:val="auto"/>
        </w:rPr>
      </w:pPr>
      <w:r>
        <w:rPr>
          <w:rStyle w:val="Grietas"/>
          <w:rFonts w:eastAsiaTheme="majorEastAsia"/>
        </w:rPr>
        <w:fldChar w:fldCharType="begin"/>
      </w:r>
      <w:r>
        <w:rPr>
          <w:rStyle w:val="Grietas"/>
          <w:rFonts w:eastAsiaTheme="majorEastAsia"/>
        </w:rPr>
        <w:instrText xml:space="preserve"> HYPERLINK "http://svis.emokykla.lt/uploads/Ataskaitu%20formavimo%20instrukcija.doc" </w:instrText>
      </w:r>
      <w:r>
        <w:rPr>
          <w:rStyle w:val="Grietas"/>
          <w:rFonts w:eastAsiaTheme="majorEastAsia"/>
        </w:rPr>
        <w:fldChar w:fldCharType="separate"/>
      </w:r>
      <w:r w:rsidR="00344A6B" w:rsidRPr="00D15086">
        <w:rPr>
          <w:rStyle w:val="Grietas"/>
          <w:rFonts w:eastAsiaTheme="majorEastAsia"/>
        </w:rPr>
        <w:t>Mokyklų statistikos ataskaitų formavimo, saugojimo ir spausdinimo instrukcija</w:t>
      </w:r>
      <w:r>
        <w:rPr>
          <w:rStyle w:val="Grietas"/>
          <w:rFonts w:eastAsiaTheme="majorEastAsia"/>
        </w:rPr>
        <w:fldChar w:fldCharType="end"/>
      </w:r>
      <w:r w:rsidR="00344A6B">
        <w:rPr>
          <w:rStyle w:val="Grietas"/>
          <w:rFonts w:eastAsiaTheme="majorEastAsia"/>
        </w:rPr>
        <w:t xml:space="preserve">s, t. y. </w:t>
      </w:r>
      <w:r w:rsidR="00344A6B" w:rsidRPr="005E03D0">
        <w:rPr>
          <w:rStyle w:val="Grietas"/>
          <w:rFonts w:eastAsiaTheme="majorEastAsia"/>
          <w:b w:val="0"/>
        </w:rPr>
        <w:t>k</w:t>
      </w:r>
      <w:r w:rsidR="00344A6B" w:rsidRPr="005E03D0">
        <w:rPr>
          <w:b/>
        </w:rPr>
        <w:t>iekvienos ataskaitos instrukcijas galite rasti:</w:t>
      </w:r>
      <w:r w:rsidR="00344A6B">
        <w:t xml:space="preserve"> </w:t>
      </w:r>
      <w:hyperlink r:id="rId5" w:history="1">
        <w:r w:rsidR="00344A6B" w:rsidRPr="00344A6B">
          <w:rPr>
            <w:rStyle w:val="Hipersaitas"/>
            <w:b/>
            <w:color w:val="auto"/>
          </w:rPr>
          <w:t>http://svis.emokykla.lt/</w:t>
        </w:r>
      </w:hyperlink>
    </w:p>
    <w:p w:rsidR="00D169B6" w:rsidRPr="000A655D" w:rsidRDefault="00D61A35" w:rsidP="00D74B6F">
      <w:pPr>
        <w:jc w:val="both"/>
        <w:rPr>
          <w:rFonts w:eastAsia="Times New Roman"/>
          <w:b/>
          <w:color w:val="393939"/>
          <w:sz w:val="24"/>
          <w:szCs w:val="24"/>
          <w:lang w:eastAsia="lt-LT"/>
        </w:rPr>
      </w:pPr>
      <w:hyperlink r:id="rId6" w:history="1">
        <w:r w:rsidR="00344A6B" w:rsidRPr="000A655D">
          <w:rPr>
            <w:rStyle w:val="Hipersaitas"/>
            <w:rFonts w:ascii="Arial" w:eastAsia="Times New Roman" w:hAnsi="Arial" w:cs="Arial"/>
            <w:b/>
            <w:color w:val="393939"/>
            <w:sz w:val="24"/>
            <w:szCs w:val="24"/>
            <w:lang w:eastAsia="lt-LT"/>
          </w:rPr>
          <w:t>Informacija</w:t>
        </w:r>
      </w:hyperlink>
      <w:r w:rsidR="00344A6B" w:rsidRPr="000A655D">
        <w:rPr>
          <w:rStyle w:val="Hipersaitas"/>
          <w:rFonts w:ascii="Arial" w:eastAsia="Times New Roman" w:hAnsi="Arial" w:cs="Arial"/>
          <w:b/>
          <w:color w:val="393939"/>
          <w:sz w:val="24"/>
          <w:szCs w:val="24"/>
          <w:lang w:eastAsia="lt-LT"/>
        </w:rPr>
        <w:t>/</w:t>
      </w:r>
      <w:hyperlink r:id="rId7" w:history="1">
        <w:r w:rsidR="00344A6B" w:rsidRPr="000A655D">
          <w:rPr>
            <w:rStyle w:val="Hipersaitas"/>
            <w:rFonts w:eastAsia="Times New Roman"/>
            <w:b/>
            <w:color w:val="393939"/>
            <w:sz w:val="24"/>
            <w:szCs w:val="24"/>
            <w:u w:val="none"/>
            <w:lang w:eastAsia="lt-LT"/>
          </w:rPr>
          <w:t>Statistikos duomenų teikimo instrukcijos</w:t>
        </w:r>
      </w:hyperlink>
    </w:p>
    <w:p w:rsidR="00450F70" w:rsidRPr="00A46639" w:rsidRDefault="00450F70" w:rsidP="00D74B6F">
      <w:pPr>
        <w:tabs>
          <w:tab w:val="num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6639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D169B6" w:rsidRPr="00A466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rofesinė mokykla, ataskaitas turi atsiskaityti SVIS naršyklėje. </w:t>
      </w:r>
      <w:r w:rsidRPr="00A46639">
        <w:rPr>
          <w:rFonts w:ascii="Times New Roman" w:eastAsia="Times New Roman" w:hAnsi="Times New Roman" w:cs="Times New Roman"/>
          <w:sz w:val="24"/>
          <w:szCs w:val="24"/>
          <w:lang w:eastAsia="lt-LT"/>
        </w:rPr>
        <w:t>ŠVIS  spauskite nuorodą „Detalioji statistika registruotiems vartotojams“ ir įveskite savo naudotojo vardą ir slaptažodį.</w:t>
      </w:r>
    </w:p>
    <w:p w:rsidR="00D74B6F" w:rsidRDefault="00450F70" w:rsidP="00D74B6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66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Atsidarius statistikos duomenų sąrašui, peržiūrėkite ar jame pateikta informacija yra teisinga. Jeigu matote netikslumų, reikia atitinkamai  pataisyti Mokinių registro duomenis ir palaukti duomenų atsinaujinimo </w:t>
      </w:r>
      <w:proofErr w:type="spellStart"/>
      <w:r w:rsidRPr="00A46639">
        <w:rPr>
          <w:rFonts w:ascii="Times New Roman" w:eastAsia="Times New Roman" w:hAnsi="Times New Roman" w:cs="Times New Roman"/>
          <w:sz w:val="24"/>
          <w:szCs w:val="24"/>
          <w:lang w:eastAsia="lt-LT"/>
        </w:rPr>
        <w:t>ŠVIS‘e</w:t>
      </w:r>
      <w:proofErr w:type="spellEnd"/>
      <w:r w:rsidRPr="00A46639">
        <w:rPr>
          <w:rFonts w:ascii="Times New Roman" w:eastAsia="Times New Roman" w:hAnsi="Times New Roman" w:cs="Times New Roman"/>
          <w:sz w:val="24"/>
          <w:szCs w:val="24"/>
          <w:lang w:eastAsia="lt-LT"/>
        </w:rPr>
        <w:t>. Duomenys atnaujinami kiekvieną naktį (korekcijų rezultatus galima matyti kitą dieną).</w:t>
      </w:r>
      <w:r w:rsidR="00D74B6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46639" w:rsidRPr="00A46639">
        <w:rPr>
          <w:rFonts w:ascii="Times New Roman" w:eastAsia="Times New Roman" w:hAnsi="Times New Roman" w:cs="Times New Roman"/>
          <w:sz w:val="24"/>
          <w:szCs w:val="24"/>
          <w:lang w:eastAsia="lt-LT"/>
        </w:rPr>
        <w:t>Jeigu ITC darbuotojai neras netikslumų patvirtintuose statistikos duomenų sąrašuose – bus laikoma, kad už juos atsiskaityta. Jeigu bus rasta netikslumų, duomenų patvirtinimas bus atšauktas ir bus prašoma patikslinti statistikos duomenų sąrašuose matomus duomenis.</w:t>
      </w:r>
      <w:r w:rsidR="00A466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46639" w:rsidRPr="00A46639">
        <w:rPr>
          <w:rFonts w:ascii="Times New Roman" w:eastAsia="Times New Roman" w:hAnsi="Times New Roman" w:cs="Times New Roman"/>
          <w:sz w:val="24"/>
          <w:szCs w:val="24"/>
          <w:lang w:eastAsia="lt-LT"/>
        </w:rPr>
        <w:t>Konsultuotis galite su ŠVIS ir statistikos skyriaus darbuotojais</w:t>
      </w:r>
      <w:r w:rsidR="00D74B6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5E03D0" w:rsidRPr="00D74B6F" w:rsidRDefault="005E03D0" w:rsidP="00D74B6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E75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Statistinių </w:t>
      </w:r>
      <w:r w:rsidR="00D74B6F">
        <w:rPr>
          <w:rFonts w:ascii="Times New Roman" w:eastAsia="Times New Roman" w:hAnsi="Times New Roman" w:cs="Times New Roman"/>
          <w:sz w:val="24"/>
          <w:szCs w:val="24"/>
          <w:lang w:eastAsia="lt-LT"/>
        </w:rPr>
        <w:t>ataskaitų teisingumas</w:t>
      </w:r>
      <w:r w:rsidRPr="008E75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priklauso nuo Mokinių registre duomenų teisingumo. Rekomenduojame vadovautis Mokinių</w:t>
      </w:r>
      <w:r w:rsidRPr="008E752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D74B6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registro aplinkoje (atvira) įkelta </w:t>
      </w:r>
      <w:hyperlink r:id="rId8" w:history="1">
        <w:r w:rsidRPr="00D74B6F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Darbų tvarka profesinėms mokykloms 2018-2019 m.</w:t>
        </w:r>
      </w:hyperlink>
      <w:r w:rsidRPr="00D74B6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5E03D0" w:rsidRPr="008E7529" w:rsidRDefault="005E03D0" w:rsidP="00D74B6F">
      <w:pPr>
        <w:pStyle w:val="Antrat3"/>
        <w:shd w:val="clear" w:color="auto" w:fill="FAFAFA"/>
        <w:jc w:val="both"/>
        <w:rPr>
          <w:rFonts w:ascii="Times New Roman" w:eastAsia="Times New Roman" w:hAnsi="Times New Roman" w:cs="Times New Roman"/>
          <w:b/>
          <w:color w:val="auto"/>
          <w:lang w:eastAsia="lt-LT"/>
        </w:rPr>
      </w:pPr>
      <w:r w:rsidRPr="008E7529">
        <w:rPr>
          <w:rFonts w:ascii="Times New Roman" w:eastAsia="Times New Roman" w:hAnsi="Times New Roman" w:cs="Times New Roman"/>
          <w:b/>
          <w:color w:val="auto"/>
          <w:lang w:eastAsia="lt-LT"/>
        </w:rPr>
        <w:t>https://grupes.emokykla.lt/grupes/mokiniu-registro-aplinka-</w:t>
      </w:r>
      <w:r>
        <w:rPr>
          <w:rFonts w:ascii="Times New Roman" w:eastAsia="Times New Roman" w:hAnsi="Times New Roman" w:cs="Times New Roman"/>
          <w:b/>
          <w:color w:val="auto"/>
          <w:lang w:eastAsia="lt-LT"/>
        </w:rPr>
        <w:t>a</w:t>
      </w:r>
      <w:r w:rsidRPr="008E7529">
        <w:rPr>
          <w:rFonts w:ascii="Times New Roman" w:eastAsia="Times New Roman" w:hAnsi="Times New Roman" w:cs="Times New Roman"/>
          <w:b/>
          <w:color w:val="auto"/>
          <w:lang w:eastAsia="lt-LT"/>
        </w:rPr>
        <w:t>tvira/dokumentai?cat=1011</w:t>
      </w:r>
    </w:p>
    <w:p w:rsidR="00D74B6F" w:rsidRPr="002648C1" w:rsidRDefault="00D74B6F" w:rsidP="00D74B6F">
      <w:pPr>
        <w:pStyle w:val="Betarp"/>
        <w:jc w:val="both"/>
        <w:rPr>
          <w:b/>
          <w:sz w:val="24"/>
          <w:szCs w:val="24"/>
          <w:lang w:val="lt-LT"/>
        </w:rPr>
      </w:pPr>
      <w:r w:rsidRPr="002648C1">
        <w:rPr>
          <w:b/>
          <w:sz w:val="24"/>
          <w:szCs w:val="24"/>
          <w:lang w:val="lt-LT"/>
        </w:rPr>
        <w:t>Tikimės vartotojų geranoriškumo. Linkime Jums ir mums atidumo ir malonaus bendradarbiavimo.</w:t>
      </w:r>
    </w:p>
    <w:p w:rsidR="00D74B6F" w:rsidRDefault="00D74B6F" w:rsidP="00D74B6F">
      <w:pPr>
        <w:pStyle w:val="Betarp"/>
        <w:jc w:val="both"/>
        <w:rPr>
          <w:rFonts w:eastAsiaTheme="minorEastAsia"/>
          <w:noProof/>
          <w:color w:val="44546A" w:themeColor="dark2"/>
          <w:lang w:val="lt-LT"/>
        </w:rPr>
      </w:pPr>
    </w:p>
    <w:p w:rsidR="00344A6B" w:rsidRDefault="00D74B6F" w:rsidP="00D74B6F">
      <w:pPr>
        <w:pStyle w:val="Betarp"/>
        <w:jc w:val="center"/>
        <w:rPr>
          <w:b/>
        </w:rPr>
      </w:pPr>
      <w:r w:rsidRPr="006373E5">
        <w:rPr>
          <w:b/>
          <w:sz w:val="24"/>
          <w:szCs w:val="24"/>
          <w:lang w:val="lt-LT"/>
        </w:rPr>
        <w:t>Sėkmingo darbo</w:t>
      </w:r>
    </w:p>
    <w:sectPr w:rsidR="00344A6B" w:rsidSect="005E03D0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F7D79"/>
    <w:multiLevelType w:val="hybridMultilevel"/>
    <w:tmpl w:val="80DC1482"/>
    <w:lvl w:ilvl="0" w:tplc="8B3C0BD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6B"/>
    <w:rsid w:val="000217F2"/>
    <w:rsid w:val="000A655D"/>
    <w:rsid w:val="00185402"/>
    <w:rsid w:val="00344A6B"/>
    <w:rsid w:val="00450F70"/>
    <w:rsid w:val="005237FC"/>
    <w:rsid w:val="005E03D0"/>
    <w:rsid w:val="00634FB6"/>
    <w:rsid w:val="007C6A06"/>
    <w:rsid w:val="00913D6B"/>
    <w:rsid w:val="009A4C7E"/>
    <w:rsid w:val="00A46639"/>
    <w:rsid w:val="00AB2205"/>
    <w:rsid w:val="00BC0360"/>
    <w:rsid w:val="00D169B6"/>
    <w:rsid w:val="00D61A35"/>
    <w:rsid w:val="00D74B6F"/>
    <w:rsid w:val="00DF0AB5"/>
    <w:rsid w:val="00F8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E4A5A-E6C6-4571-A320-022B464A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44A6B"/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5E03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34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344A6B"/>
    <w:rPr>
      <w:color w:val="0563C1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344A6B"/>
    <w:rPr>
      <w:b/>
      <w:bCs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5E03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1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17F2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D74B6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upes.emokykla.lt/upload/files/2018/08/20/darbu-tvarka-profesinem-2018-2019_091036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vis.emokykla.lt/lt/index/a_view/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is.emokykla.lt/" TargetMode="External"/><Relationship Id="rId5" Type="http://schemas.openxmlformats.org/officeDocument/2006/relationships/hyperlink" Target="http://svis.emokykla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2370</Words>
  <Characters>1351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Rimkienė</dc:creator>
  <cp:keywords/>
  <dc:description/>
  <cp:lastModifiedBy>Alina Ceremisova</cp:lastModifiedBy>
  <cp:revision>3</cp:revision>
  <cp:lastPrinted>2018-12-10T12:18:00Z</cp:lastPrinted>
  <dcterms:created xsi:type="dcterms:W3CDTF">2018-12-28T07:02:00Z</dcterms:created>
  <dcterms:modified xsi:type="dcterms:W3CDTF">2018-12-28T07:04:00Z</dcterms:modified>
</cp:coreProperties>
</file>